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bCs/>
          <w:sz w:val="28"/>
          <w:szCs w:val="36"/>
          <w:lang w:val="en-US" w:eastAsia="zh-CN"/>
        </w:rPr>
      </w:pPr>
      <w:r>
        <w:rPr>
          <w:rFonts w:hint="eastAsia"/>
          <w:lang w:val="en-US" w:eastAsia="zh-CN"/>
        </w:rPr>
        <w:t xml:space="preserve">     </w:t>
      </w:r>
      <w:r>
        <w:rPr>
          <w:rFonts w:hint="eastAsia" w:ascii="Times New Roman" w:hAnsi="Times New Roman" w:cs="Times New Roman"/>
          <w:b/>
          <w:bCs/>
          <w:sz w:val="28"/>
          <w:szCs w:val="36"/>
          <w:lang w:val="en-US" w:eastAsia="zh-CN"/>
        </w:rPr>
        <w:t xml:space="preserve"> </w:t>
      </w:r>
      <w:bookmarkStart w:id="0" w:name="_GoBack"/>
      <w:r>
        <w:rPr>
          <w:rFonts w:hint="eastAsia" w:ascii="Times New Roman" w:hAnsi="Times New Roman" w:cs="Times New Roman"/>
          <w:b/>
          <w:bCs/>
          <w:sz w:val="28"/>
          <w:szCs w:val="36"/>
          <w:lang w:val="en-US" w:eastAsia="zh-CN"/>
        </w:rPr>
        <w:t>RY-YFD 4000 Fully Hydraulic Crawler Composting Turner</w:t>
      </w:r>
      <w:bookmarkEnd w:id="0"/>
    </w:p>
    <w:p>
      <w:pPr>
        <w:jc w:val="left"/>
        <w:rPr>
          <w:rFonts w:hint="default" w:ascii="Times New Roman" w:hAnsi="Times New Roman" w:cs="Times New Roman"/>
          <w:b/>
          <w:bCs/>
          <w:color w:val="auto"/>
          <w:sz w:val="22"/>
          <w:szCs w:val="28"/>
          <w:lang w:val="en-US" w:eastAsia="zh-CN"/>
        </w:rPr>
      </w:pPr>
      <w:r>
        <w:rPr>
          <w:rFonts w:hint="default" w:ascii="Times New Roman" w:hAnsi="Times New Roman" w:cs="Times New Roman"/>
          <w:b/>
          <w:bCs/>
          <w:color w:val="auto"/>
          <w:sz w:val="22"/>
          <w:szCs w:val="28"/>
          <w:lang w:val="en-US" w:eastAsia="zh-CN"/>
        </w:rPr>
        <w:t>The main application &amp; characteristics of the equipment</w:t>
      </w:r>
    </w:p>
    <w:p>
      <w:pPr>
        <w:jc w:val="left"/>
        <w:rPr>
          <w:rFonts w:hint="eastAsia" w:ascii="Times New Roman" w:hAnsi="Times New Roman" w:cs="Times New Roman"/>
          <w:color w:val="auto"/>
          <w:sz w:val="22"/>
          <w:szCs w:val="28"/>
          <w:lang w:val="en-US" w:eastAsia="zh-CN"/>
        </w:rPr>
      </w:pPr>
      <w:r>
        <w:rPr>
          <w:rFonts w:hint="eastAsia" w:ascii="Times New Roman" w:hAnsi="Times New Roman" w:cs="Times New Roman"/>
          <w:color w:val="auto"/>
          <w:sz w:val="22"/>
          <w:szCs w:val="28"/>
          <w:lang w:val="en-US" w:eastAsia="zh-CN"/>
        </w:rPr>
        <w:t>RY-YFD 4000 fully Hydraulic crawler composting turning machine adopted the advantages of  mature model from multi developed countries, combined with China industry conditions to design, with the characteristic of compact design, simple operation, saving working site, etc. The machine winch shaft designed with whole body lifting and lowing , which can lift and adjust the height between the winch and the site to make the operation more convenient when the working site is moved or the turning height needs to be changed.</w:t>
      </w:r>
    </w:p>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b/>
          <w:bCs/>
          <w:sz w:val="21"/>
          <w:szCs w:val="24"/>
          <w:lang w:val="en-US" w:eastAsia="zh-CN"/>
        </w:rPr>
      </w:pPr>
      <w:r>
        <w:rPr>
          <w:rFonts w:hint="default" w:ascii="Cambria" w:hAnsi="Cambria" w:cs="Cambria"/>
          <w:b/>
          <w:bCs/>
          <w:sz w:val="21"/>
          <w:szCs w:val="24"/>
          <w:lang w:val="en-US" w:eastAsia="zh-CN"/>
        </w:rPr>
        <w:t xml:space="preserve">Main technical parameters: (external dimensions </w:t>
      </w:r>
      <w:r>
        <w:rPr>
          <w:rFonts w:hint="eastAsia" w:ascii="Cambria" w:hAnsi="Cambria" w:cs="Cambria"/>
          <w:b/>
          <w:bCs/>
          <w:sz w:val="21"/>
          <w:szCs w:val="24"/>
          <w:lang w:val="en-US" w:eastAsia="zh-CN"/>
        </w:rPr>
        <w:t>34</w:t>
      </w:r>
      <w:r>
        <w:rPr>
          <w:rFonts w:hint="default" w:ascii="Cambria" w:hAnsi="Cambria" w:cs="Cambria"/>
          <w:b/>
          <w:bCs/>
          <w:sz w:val="21"/>
          <w:szCs w:val="24"/>
          <w:lang w:val="en-US" w:eastAsia="zh-CN"/>
        </w:rPr>
        <w:t>00x</w:t>
      </w:r>
      <w:r>
        <w:rPr>
          <w:rFonts w:hint="eastAsia" w:ascii="Cambria" w:hAnsi="Cambria" w:cs="Cambria"/>
          <w:b/>
          <w:bCs/>
          <w:sz w:val="21"/>
          <w:szCs w:val="24"/>
          <w:lang w:val="en-US" w:eastAsia="zh-CN"/>
        </w:rPr>
        <w:t>5</w:t>
      </w:r>
      <w:r>
        <w:rPr>
          <w:rFonts w:hint="default" w:ascii="Cambria" w:hAnsi="Cambria" w:cs="Cambria"/>
          <w:b/>
          <w:bCs/>
          <w:sz w:val="21"/>
          <w:szCs w:val="24"/>
          <w:lang w:val="en-US" w:eastAsia="zh-CN"/>
        </w:rPr>
        <w:t>300x</w:t>
      </w:r>
      <w:r>
        <w:rPr>
          <w:rFonts w:hint="eastAsia" w:ascii="Cambria" w:hAnsi="Cambria" w:cs="Cambria"/>
          <w:b/>
          <w:bCs/>
          <w:sz w:val="21"/>
          <w:szCs w:val="24"/>
          <w:lang w:val="en-US" w:eastAsia="zh-CN"/>
        </w:rPr>
        <w:t>39</w:t>
      </w:r>
      <w:r>
        <w:rPr>
          <w:rFonts w:hint="default" w:ascii="Cambria" w:hAnsi="Cambria" w:cs="Cambria"/>
          <w:b/>
          <w:bCs/>
          <w:sz w:val="21"/>
          <w:szCs w:val="24"/>
          <w:lang w:val="en-US" w:eastAsia="zh-CN"/>
        </w:rPr>
        <w:t>00)</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632"/>
        <w:gridCol w:w="3170"/>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The composting turner model</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RY-YFD</w:t>
            </w:r>
            <w:r>
              <w:rPr>
                <w:rFonts w:hint="eastAsia" w:ascii="Cambria" w:hAnsi="Cambria" w:cs="Cambria"/>
                <w:sz w:val="21"/>
                <w:szCs w:val="24"/>
                <w:vertAlign w:val="baseline"/>
                <w:lang w:val="en-US" w:eastAsia="zh-CN"/>
              </w:rPr>
              <w:t>4</w:t>
            </w:r>
            <w:r>
              <w:rPr>
                <w:rFonts w:hint="default" w:ascii="Cambria" w:hAnsi="Cambria" w:cs="Cambria"/>
                <w:sz w:val="21"/>
                <w:szCs w:val="24"/>
                <w:vertAlign w:val="baseline"/>
                <w:lang w:val="en-US" w:eastAsia="zh-CN"/>
              </w:rPr>
              <w:t>000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Rated power (kw)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windrow</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 xml:space="preserve"> width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4</w:t>
            </w:r>
            <w:r>
              <w:rPr>
                <w:rFonts w:hint="default" w:ascii="Cambria" w:hAnsi="Cambria" w:cs="Cambria"/>
                <w:sz w:val="21"/>
                <w:szCs w:val="24"/>
                <w:vertAlign w:val="baseline"/>
                <w:lang w:val="en-US" w:eastAsia="zh-CN"/>
              </w:rPr>
              <w:t>000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Maximum torque (N-m)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1338</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1</w:t>
            </w:r>
            <w:r>
              <w:rPr>
                <w:rFonts w:hint="eastAsia" w:ascii="Cambria" w:hAnsi="Cambria" w:cs="Cambria"/>
                <w:sz w:val="21"/>
                <w:szCs w:val="24"/>
                <w:vertAlign w:val="baseline"/>
                <w:lang w:val="en-US" w:eastAsia="zh-CN"/>
              </w:rPr>
              <w:t>135</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Turning height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sz w:val="21"/>
                <w:szCs w:val="24"/>
                <w:vertAlign w:val="baseline"/>
                <w:lang w:val="en-US" w:eastAsia="zh-CN"/>
              </w:rPr>
              <w:t>1.9</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Minimum fuel rate (g/kw-h)</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1"/>
                <w:szCs w:val="24"/>
                <w:vertAlign w:val="baseline"/>
                <w:lang w:val="en-US" w:eastAsia="zh-CN"/>
              </w:rPr>
              <w:t>≤</w:t>
            </w:r>
            <w:r>
              <w:rPr>
                <w:rFonts w:hint="eastAsia" w:ascii="Cambria" w:hAnsi="Cambria" w:cs="Cambria"/>
                <w:sz w:val="21"/>
                <w:szCs w:val="24"/>
                <w:vertAlign w:val="baseline"/>
                <w:lang w:val="en-US" w:eastAsia="zh-CN"/>
              </w:rPr>
              <w:t>231</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0"/>
                <w:szCs w:val="22"/>
                <w:lang w:val="en-US" w:eastAsia="zh-CN"/>
              </w:rPr>
            </w:pPr>
            <w:r>
              <w:rPr>
                <w:rFonts w:hint="default" w:ascii="Cambria" w:hAnsi="Cambria" w:cs="Cambria"/>
                <w:sz w:val="20"/>
                <w:szCs w:val="22"/>
                <w:lang w:val="en-US" w:eastAsia="zh-CN"/>
              </w:rPr>
              <w:t>Track width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sz w:val="20"/>
                <w:szCs w:val="22"/>
                <w:lang w:val="en-US" w:eastAsia="zh-CN"/>
              </w:rPr>
              <w:t>2x0.35</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Diameter of working knife (mm)</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1</w:t>
            </w:r>
            <w:r>
              <w:rPr>
                <w:rFonts w:hint="eastAsia" w:ascii="Cambria" w:hAnsi="Cambria" w:cs="Cambria"/>
                <w:lang w:val="en-US" w:eastAsia="zh-CN"/>
              </w:rPr>
              <w:t>05</w:t>
            </w:r>
            <w:r>
              <w:rPr>
                <w:rFonts w:hint="default" w:ascii="Cambria" w:hAnsi="Cambria" w:cs="Cambria"/>
                <w:lang w:val="en-US" w:eastAsia="zh-CN"/>
              </w:rPr>
              <w:t>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Pile spacing (m)</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 xml:space="preserve">Maximum processing capacity </w:t>
            </w:r>
          </w:p>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w:t>
            </w:r>
            <w:r>
              <w:rPr>
                <w:rFonts w:hint="default" w:ascii="Cambria" w:hAnsi="Cambria" w:cs="Cambria"/>
                <w:vertAlign w:val="superscript"/>
                <w:lang w:val="en-US" w:eastAsia="zh-CN"/>
              </w:rPr>
              <w:t>3</w:t>
            </w:r>
            <w:r>
              <w:rPr>
                <w:rFonts w:hint="default" w:ascii="Cambria" w:hAnsi="Cambria" w:cs="Cambria"/>
                <w:lang w:val="en-US" w:eastAsia="zh-CN"/>
              </w:rPr>
              <w:t>/h)</w:t>
            </w: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Maximum material particle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Φ250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Number of cylinders</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6</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Turning radius (mm)</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eastAsia" w:ascii="Cambria" w:hAnsi="Cambria" w:cs="Cambria"/>
                <w:lang w:val="en-US" w:eastAsia="zh-CN"/>
              </w:rPr>
              <w:t>2400</w:t>
            </w: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Cylinder volume (L)</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8.3</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Forward speed (m/min)</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Battery (V)</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12V/150A*2</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Backward speed (m/min)</w:t>
            </w:r>
          </w:p>
        </w:tc>
        <w:tc>
          <w:tcPr>
            <w:tcW w:w="1632"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0-10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3170"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Fuel tank volume (L)</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1646"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eastAsia" w:ascii="Cambria" w:hAnsi="Cambria" w:cs="Cambria"/>
                <w:lang w:val="en-US" w:eastAsia="zh-CN"/>
              </w:rPr>
              <w:t>15</w:t>
            </w:r>
            <w:r>
              <w:rPr>
                <w:rFonts w:hint="default" w:ascii="Cambria" w:hAnsi="Cambria" w:cs="Cambria"/>
                <w:lang w:val="en-US" w:eastAsia="zh-CN"/>
              </w:rPr>
              <w:t>0</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Handling capacity calculation</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 xml:space="preserve">7m/min (speed) x 60min (time) x </w:t>
            </w:r>
            <w:r>
              <w:rPr>
                <w:rFonts w:hint="eastAsia" w:ascii="Cambria" w:hAnsi="Cambria" w:cs="Cambria"/>
                <w:lang w:val="en-US" w:eastAsia="zh-CN"/>
              </w:rPr>
              <w:t>4</w:t>
            </w:r>
            <w:r>
              <w:rPr>
                <w:rFonts w:hint="default" w:ascii="Cambria" w:hAnsi="Cambria" w:cs="Cambria"/>
                <w:lang w:val="en-US" w:eastAsia="zh-CN"/>
              </w:rPr>
              <w:t xml:space="preserve">m (width) x </w:t>
            </w:r>
            <w:r>
              <w:rPr>
                <w:rFonts w:hint="eastAsia" w:ascii="Cambria" w:hAnsi="Cambria" w:cs="Cambria"/>
                <w:lang w:val="en-US" w:eastAsia="zh-CN"/>
              </w:rPr>
              <w:t>1.9</w:t>
            </w:r>
            <w:r>
              <w:rPr>
                <w:rFonts w:hint="default" w:ascii="Cambria" w:hAnsi="Cambria" w:cs="Cambria"/>
                <w:lang w:val="en-US" w:eastAsia="zh-CN"/>
              </w:rPr>
              <w:t xml:space="preserve">m (height) ÷ 2 = </w:t>
            </w:r>
            <w:r>
              <w:rPr>
                <w:rFonts w:hint="eastAsia" w:ascii="Cambria" w:hAnsi="Cambria" w:cs="Cambria"/>
                <w:lang w:val="en-US" w:eastAsia="zh-CN"/>
              </w:rPr>
              <w:t>1596</w:t>
            </w:r>
            <w:r>
              <w:rPr>
                <w:rFonts w:hint="default" w:ascii="Cambria" w:hAnsi="Cambria" w:cs="Cambria"/>
                <w:lang w:val="en-US" w:eastAsia="zh-CN"/>
              </w:rPr>
              <w:t xml:space="preserve"> </w:t>
            </w:r>
            <w:r>
              <w:rPr>
                <w:rFonts w:hint="eastAsia" w:ascii="Times New Roman" w:hAnsi="Times New Roman" w:cs="Times New Roman"/>
                <w:color w:val="auto"/>
                <w:sz w:val="22"/>
                <w:szCs w:val="28"/>
                <w:lang w:val="en-US" w:eastAsia="zh-CN"/>
              </w:rPr>
              <w:t>M</w:t>
            </w:r>
            <w:r>
              <w:rPr>
                <w:rFonts w:hint="eastAsia" w:ascii="Times New Roman" w:hAnsi="Times New Roman" w:cs="Times New Roman"/>
                <w:color w:val="auto"/>
                <w:sz w:val="22"/>
                <w:szCs w:val="28"/>
                <w:vertAlign w:val="superscript"/>
                <w:lang w:val="en-US" w:eastAsia="zh-CN"/>
              </w:rPr>
              <w:t>3</w:t>
            </w:r>
            <w:r>
              <w:rPr>
                <w:rFonts w:hint="default" w:ascii="Times New Roman" w:hAnsi="Times New Roman" w:cs="Times New Roman"/>
                <w:color w:val="auto"/>
                <w:sz w:val="22"/>
                <w:szCs w:val="28"/>
                <w:lang w:val="en-US" w:eastAsia="zh-CN"/>
              </w:rPr>
              <w:t xml:space="preserve"> </w:t>
            </w:r>
            <w:r>
              <w:rPr>
                <w:rFonts w:hint="default" w:ascii="Cambria" w:hAnsi="Cambria" w:cs="Cambria"/>
                <w:lang w:val="en-US" w:eastAsia="zh-CN"/>
              </w:rPr>
              <w:t>/hour</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default" w:ascii="Cambria" w:hAnsi="Cambria" w:cs="Cambria"/>
                <w:lang w:val="en-US" w:eastAsia="zh-CN"/>
              </w:rPr>
            </w:pPr>
            <w:r>
              <w:rPr>
                <w:rFonts w:hint="default" w:ascii="Cambria" w:hAnsi="Cambria" w:cs="Cambria"/>
                <w:lang w:val="en-US" w:eastAsia="zh-CN"/>
              </w:rPr>
              <w:t>Engine brand</w:t>
            </w:r>
          </w:p>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drawing>
                <wp:anchor distT="0" distB="0" distL="114300" distR="114300" simplePos="0" relativeHeight="251659264" behindDoc="0" locked="0" layoutInCell="1" allowOverlap="1">
                  <wp:simplePos x="0" y="0"/>
                  <wp:positionH relativeFrom="column">
                    <wp:posOffset>219075</wp:posOffset>
                  </wp:positionH>
                  <wp:positionV relativeFrom="paragraph">
                    <wp:posOffset>146050</wp:posOffset>
                  </wp:positionV>
                  <wp:extent cx="5272405" cy="3943985"/>
                  <wp:effectExtent l="0" t="0" r="63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clrChange>
                              <a:clrFrom>
                                <a:srgbClr val="FFFFFF">
                                  <a:alpha val="100000"/>
                                </a:srgbClr>
                              </a:clrFrom>
                              <a:clrTo>
                                <a:srgbClr val="FFFFFF">
                                  <a:alpha val="100000"/>
                                  <a:alpha val="0"/>
                                </a:srgbClr>
                              </a:clrTo>
                            </a:clrChange>
                          </a:blip>
                          <a:stretch>
                            <a:fillRect/>
                          </a:stretch>
                        </pic:blipFill>
                        <pic:spPr>
                          <a:xfrm>
                            <a:off x="0" y="0"/>
                            <a:ext cx="5272405" cy="3943985"/>
                          </a:xfrm>
                          <a:prstGeom prst="rect">
                            <a:avLst/>
                          </a:prstGeom>
                          <a:noFill/>
                          <a:ln>
                            <a:noFill/>
                          </a:ln>
                        </pic:spPr>
                      </pic:pic>
                    </a:graphicData>
                  </a:graphic>
                </wp:anchor>
              </w:drawing>
            </w:r>
          </w:p>
        </w:tc>
        <w:tc>
          <w:tcPr>
            <w:tcW w:w="6448" w:type="dxa"/>
            <w:gridSpan w:val="3"/>
          </w:tcPr>
          <w:p>
            <w:pPr>
              <w:keepNext w:val="0"/>
              <w:keepLines w:val="0"/>
              <w:pageBreakBefore w:val="0"/>
              <w:widowControl w:val="0"/>
              <w:kinsoku/>
              <w:wordWrap/>
              <w:overflowPunct/>
              <w:topLinePunct w:val="0"/>
              <w:autoSpaceDE/>
              <w:autoSpaceDN/>
              <w:bidi w:val="0"/>
              <w:adjustRightInd/>
              <w:snapToGrid w:val="0"/>
              <w:spacing w:line="240" w:lineRule="atLeast"/>
              <w:jc w:val="left"/>
              <w:textAlignment w:val="auto"/>
              <w:rPr>
                <w:rFonts w:hint="default" w:ascii="Cambria" w:hAnsi="Cambria" w:cs="Cambria"/>
                <w:sz w:val="21"/>
                <w:szCs w:val="24"/>
                <w:vertAlign w:val="baseline"/>
                <w:lang w:val="en-US" w:eastAsia="zh-CN"/>
              </w:rPr>
            </w:pPr>
            <w:r>
              <w:rPr>
                <w:rFonts w:hint="default" w:ascii="Cambria" w:hAnsi="Cambria" w:cs="Cambria"/>
                <w:lang w:val="en-US" w:eastAsia="zh-CN"/>
              </w:rPr>
              <w:t>Dongfeng Cummins</w:t>
            </w:r>
            <w:r>
              <w:rPr>
                <w:rFonts w:hint="eastAsia" w:ascii="Cambria" w:hAnsi="Cambria" w:cs="Cambria"/>
                <w:lang w:val="en-US" w:eastAsia="zh-CN"/>
              </w:rPr>
              <w:t xml:space="preserve"> 6BTA8.3-C260（Steyr (name)）</w:t>
            </w:r>
          </w:p>
        </w:tc>
      </w:tr>
    </w:tbl>
    <w:p>
      <w:pPr>
        <w:keepNext w:val="0"/>
        <w:keepLines w:val="0"/>
        <w:pageBreakBefore w:val="0"/>
        <w:widowControl w:val="0"/>
        <w:kinsoku/>
        <w:wordWrap/>
        <w:overflowPunct/>
        <w:topLinePunct w:val="0"/>
        <w:autoSpaceDE/>
        <w:autoSpaceDN/>
        <w:bidi w:val="0"/>
        <w:adjustRightInd/>
        <w:snapToGrid w:val="0"/>
        <w:spacing w:line="240" w:lineRule="atLeast"/>
        <w:textAlignment w:val="auto"/>
        <w:rPr>
          <w:rFonts w:hint="eastAsia"/>
          <w:lang w:val="en-US" w:eastAsia="zh-CN"/>
        </w:rPr>
      </w:pPr>
    </w:p>
    <w:p/>
    <w:p/>
    <w:p/>
    <w:p/>
    <w:p/>
    <w:p/>
    <w:p/>
    <w:p/>
    <w:p/>
    <w:p/>
    <w:sectPr>
      <w:pgSz w:w="11906" w:h="16838"/>
      <w:pgMar w:top="1157" w:right="1519" w:bottom="115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mOTRhMTY3ZWZjODc5YzM2M2RmOWMwNDZkODA4ZmIifQ=="/>
  </w:docVars>
  <w:rsids>
    <w:rsidRoot w:val="21F50D59"/>
    <w:rsid w:val="21F50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2023-09-17T11:45:00Z</dcterms:created>
  <dc:creator>搜狐自媒体艺食家Judy</dc:creator>
  <cp:lastModifiedBy>搜狐自媒体艺食家Judy</cp:lastModifiedBy>
  <dcterms:modified xsi:type="dcterms:W3CDTF">2023-09-17T12:07:04Z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14D4F20EA8014A32807249BDD5850A51_11</vt:lpwstr>
  </property>
</Properties>
</file>